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C3B" w:rsidRDefault="00B94C3B" w:rsidP="00B94C3B">
      <w:pPr>
        <w:jc w:val="center"/>
        <w:rPr>
          <w:b/>
          <w:sz w:val="28"/>
          <w:szCs w:val="28"/>
          <w:u w:val="single"/>
        </w:rPr>
      </w:pPr>
      <w:r>
        <w:rPr>
          <w:b/>
          <w:sz w:val="28"/>
          <w:szCs w:val="28"/>
          <w:u w:val="single"/>
        </w:rPr>
        <w:t>EXPLANATION   OF   FEES</w:t>
      </w:r>
    </w:p>
    <w:p w:rsidR="00B94C3B" w:rsidRDefault="00B94C3B" w:rsidP="00B94C3B">
      <w:pPr>
        <w:jc w:val="center"/>
        <w:rPr>
          <w:sz w:val="16"/>
          <w:szCs w:val="16"/>
        </w:rPr>
      </w:pPr>
    </w:p>
    <w:p w:rsidR="00B94C3B" w:rsidRDefault="00B94C3B" w:rsidP="00B94C3B">
      <w:pPr>
        <w:jc w:val="both"/>
        <w:rPr>
          <w:sz w:val="23"/>
          <w:szCs w:val="23"/>
        </w:rPr>
      </w:pPr>
      <w:r>
        <w:rPr>
          <w:sz w:val="23"/>
          <w:szCs w:val="23"/>
        </w:rPr>
        <w:t xml:space="preserve">As a service to our patients, we provide the following </w:t>
      </w:r>
      <w:r>
        <w:rPr>
          <w:b/>
          <w:sz w:val="23"/>
          <w:szCs w:val="23"/>
          <w:u w:val="single"/>
        </w:rPr>
        <w:t>estimate</w:t>
      </w:r>
      <w:r>
        <w:rPr>
          <w:sz w:val="23"/>
          <w:szCs w:val="23"/>
        </w:rPr>
        <w:t xml:space="preserve"> of the medical costs you will be required to pay for your procedure.  In the event of unforseen circumstances, it may be necessary to arrange additional medical services, resulting in further charges to yourself. Please read the following page carefully. </w:t>
      </w:r>
    </w:p>
    <w:p w:rsidR="00B94C3B" w:rsidRDefault="00B94C3B" w:rsidP="00B94C3B">
      <w:pPr>
        <w:jc w:val="center"/>
        <w:rPr>
          <w:b/>
          <w:sz w:val="18"/>
          <w:szCs w:val="18"/>
        </w:rPr>
      </w:pPr>
      <w:bookmarkStart w:id="0" w:name="_GoBack"/>
      <w:bookmarkEnd w:id="0"/>
    </w:p>
    <w:p w:rsidR="00B94C3B" w:rsidRDefault="00B94C3B" w:rsidP="00B94C3B">
      <w:pPr>
        <w:jc w:val="center"/>
        <w:rPr>
          <w:i/>
          <w:sz w:val="24"/>
          <w:szCs w:val="24"/>
          <w:u w:val="single"/>
        </w:rPr>
      </w:pPr>
      <w:r>
        <w:rPr>
          <w:i/>
          <w:u w:val="single"/>
        </w:rPr>
        <w:t>Digestive Diseases Qld has an agreement in the no gap cover scheme with participating health funds. For patients with private health insurance, you will need to contact your health fund to check you have the adequate level of cover for your upcoming procedure.</w:t>
      </w:r>
    </w:p>
    <w:p w:rsidR="00B94C3B" w:rsidRDefault="00B94C3B" w:rsidP="00B94C3B">
      <w:pPr>
        <w:jc w:val="both"/>
        <w:rPr>
          <w:b/>
          <w:u w:val="single"/>
          <w:lang w:val="en-US"/>
        </w:rPr>
      </w:pPr>
    </w:p>
    <w:p w:rsidR="00B94C3B" w:rsidRDefault="00B94C3B" w:rsidP="00B94C3B">
      <w:pPr>
        <w:jc w:val="both"/>
        <w:rPr>
          <w:b/>
          <w:sz w:val="18"/>
          <w:szCs w:val="18"/>
          <w:u w:val="single"/>
          <w:lang w:val="en-US"/>
        </w:rPr>
      </w:pPr>
    </w:p>
    <w:p w:rsidR="00B94C3B" w:rsidRPr="00B94C3B" w:rsidRDefault="00B94C3B" w:rsidP="00B94C3B">
      <w:pPr>
        <w:numPr>
          <w:ilvl w:val="0"/>
          <w:numId w:val="1"/>
        </w:numPr>
        <w:spacing w:after="0" w:line="240" w:lineRule="auto"/>
        <w:jc w:val="both"/>
        <w:rPr>
          <w:b/>
          <w:sz w:val="24"/>
          <w:szCs w:val="24"/>
          <w:u w:val="single"/>
          <w:lang w:val="en-US"/>
        </w:rPr>
      </w:pPr>
      <w:r w:rsidRPr="00B94C3B">
        <w:rPr>
          <w:b/>
          <w:sz w:val="24"/>
          <w:szCs w:val="24"/>
          <w:u w:val="single"/>
          <w:lang w:val="en-US"/>
        </w:rPr>
        <w:t xml:space="preserve">DIGESTIVE DISEASES QLD ACCOUNT </w:t>
      </w:r>
    </w:p>
    <w:p w:rsidR="00B94C3B" w:rsidRDefault="00B94C3B" w:rsidP="00B94C3B">
      <w:pPr>
        <w:ind w:left="360"/>
        <w:jc w:val="both"/>
        <w:rPr>
          <w:b/>
          <w:lang w:val="en-US"/>
        </w:rPr>
      </w:pPr>
    </w:p>
    <w:p w:rsidR="00B94C3B" w:rsidRDefault="00B94C3B" w:rsidP="00B94C3B">
      <w:pPr>
        <w:ind w:left="360"/>
        <w:jc w:val="both"/>
        <w:rPr>
          <w:b/>
          <w:sz w:val="23"/>
          <w:szCs w:val="23"/>
          <w:lang w:val="en-US"/>
        </w:rPr>
      </w:pPr>
      <w:r>
        <w:rPr>
          <w:sz w:val="23"/>
          <w:szCs w:val="23"/>
          <w:lang w:val="en-US"/>
        </w:rPr>
        <w:t>Digestive Diseases Queensland’s account for performing the procedure is</w:t>
      </w:r>
      <w:r>
        <w:rPr>
          <w:sz w:val="23"/>
          <w:szCs w:val="23"/>
          <w:shd w:val="clear" w:color="auto" w:fill="FFFFFF"/>
          <w:lang w:val="en-US"/>
        </w:rPr>
        <w:t xml:space="preserve"> </w:t>
      </w:r>
      <w:r>
        <w:rPr>
          <w:b/>
          <w:sz w:val="23"/>
          <w:szCs w:val="23"/>
          <w:u w:val="single"/>
          <w:shd w:val="clear" w:color="auto" w:fill="FFFFFF"/>
          <w:lang w:val="en-US"/>
        </w:rPr>
        <w:t>separate</w:t>
      </w:r>
      <w:r>
        <w:rPr>
          <w:sz w:val="23"/>
          <w:szCs w:val="23"/>
          <w:lang w:val="en-US"/>
        </w:rPr>
        <w:t xml:space="preserve"> to the hospital charge.  If you have hospital cover with a private fund your account will be sent directly to your fund for payment, providing you have the appropriate level of cover. If at the time of your procedure the doctor decides an advanced endoscopic technique is required, you will receive an account with an out of pocket amount.  Payment can be made by cash, </w:t>
      </w:r>
      <w:r>
        <w:rPr>
          <w:sz w:val="23"/>
          <w:szCs w:val="23"/>
        </w:rPr>
        <w:t xml:space="preserve">cheque, </w:t>
      </w:r>
      <w:proofErr w:type="spellStart"/>
      <w:r>
        <w:rPr>
          <w:sz w:val="23"/>
          <w:szCs w:val="23"/>
        </w:rPr>
        <w:t>Eftpos</w:t>
      </w:r>
      <w:proofErr w:type="spellEnd"/>
      <w:r>
        <w:rPr>
          <w:sz w:val="23"/>
          <w:szCs w:val="23"/>
        </w:rPr>
        <w:t xml:space="preserve"> or credit card (Credit card payment accepted via telephone if required)</w:t>
      </w:r>
      <w:r>
        <w:rPr>
          <w:sz w:val="23"/>
          <w:szCs w:val="23"/>
          <w:lang w:val="en-US"/>
        </w:rPr>
        <w:t xml:space="preserve">.  The rebate can then be claimed from Medicare/Private Health Fund. </w:t>
      </w:r>
      <w:r>
        <w:rPr>
          <w:b/>
          <w:sz w:val="23"/>
          <w:szCs w:val="23"/>
          <w:lang w:val="en-US"/>
        </w:rPr>
        <w:t>If you do not have private health insurance you will receive the account in the mail after your procedure. Prompt payment is appreciated and a receipt will be posted to you for you to claim your Medicare rebate.</w:t>
      </w:r>
    </w:p>
    <w:p w:rsidR="00B94C3B" w:rsidRDefault="00B94C3B" w:rsidP="00B94C3B">
      <w:pPr>
        <w:rPr>
          <w:b/>
          <w:sz w:val="18"/>
          <w:szCs w:val="18"/>
        </w:rPr>
      </w:pPr>
    </w:p>
    <w:p w:rsidR="00B94C3B" w:rsidRPr="00B94C3B" w:rsidRDefault="00B94C3B" w:rsidP="00B94C3B">
      <w:pPr>
        <w:numPr>
          <w:ilvl w:val="0"/>
          <w:numId w:val="1"/>
        </w:numPr>
        <w:spacing w:after="0" w:line="240" w:lineRule="auto"/>
        <w:jc w:val="both"/>
        <w:rPr>
          <w:b/>
          <w:sz w:val="24"/>
          <w:szCs w:val="24"/>
          <w:u w:val="single"/>
          <w:lang w:val="en-US"/>
        </w:rPr>
      </w:pPr>
      <w:r w:rsidRPr="00B94C3B">
        <w:rPr>
          <w:b/>
          <w:sz w:val="24"/>
          <w:szCs w:val="24"/>
          <w:u w:val="single"/>
          <w:lang w:val="en-US"/>
        </w:rPr>
        <w:t>HOSPITAL ACCOUNT</w:t>
      </w:r>
    </w:p>
    <w:p w:rsidR="00B94C3B" w:rsidRDefault="00B94C3B" w:rsidP="00B94C3B">
      <w:pPr>
        <w:jc w:val="both"/>
        <w:rPr>
          <w:lang w:val="en-US"/>
        </w:rPr>
      </w:pPr>
    </w:p>
    <w:p w:rsidR="00B94C3B" w:rsidRDefault="00B94C3B" w:rsidP="00B94C3B">
      <w:pPr>
        <w:ind w:left="360"/>
        <w:jc w:val="both"/>
        <w:rPr>
          <w:sz w:val="23"/>
          <w:szCs w:val="23"/>
          <w:lang w:val="en-US"/>
        </w:rPr>
      </w:pPr>
      <w:r>
        <w:rPr>
          <w:sz w:val="23"/>
          <w:szCs w:val="23"/>
          <w:lang w:val="en-US"/>
        </w:rPr>
        <w:t xml:space="preserve">Prior to your procedure it is necessary for you to register your admission with the hospital.  The hospital will inform you of any payment required on the day of your procedure (e.g. excess).   </w:t>
      </w:r>
      <w:r>
        <w:rPr>
          <w:b/>
          <w:sz w:val="23"/>
          <w:szCs w:val="23"/>
          <w:lang w:val="en-US"/>
        </w:rPr>
        <w:t>If you are not insured, you will be required to pay the hospital account on the day of your procedure.</w:t>
      </w:r>
      <w:r>
        <w:rPr>
          <w:sz w:val="23"/>
          <w:szCs w:val="23"/>
          <w:lang w:val="en-US"/>
        </w:rPr>
        <w:t xml:space="preserve"> Please contact the hospital you are attending for further information. </w:t>
      </w:r>
    </w:p>
    <w:p w:rsidR="00B94C3B" w:rsidRDefault="00B94C3B" w:rsidP="00B94C3B">
      <w:pPr>
        <w:ind w:left="1080"/>
        <w:jc w:val="both"/>
        <w:rPr>
          <w:b/>
          <w:i/>
          <w:sz w:val="18"/>
          <w:szCs w:val="18"/>
          <w:u w:val="single"/>
        </w:rPr>
      </w:pPr>
    </w:p>
    <w:p w:rsidR="00B94C3B" w:rsidRDefault="00B94C3B" w:rsidP="00B94C3B">
      <w:pPr>
        <w:pStyle w:val="Heading1"/>
        <w:ind w:left="720"/>
      </w:pPr>
    </w:p>
    <w:p w:rsidR="00B94C3B" w:rsidRPr="00B94C3B" w:rsidRDefault="00B94C3B" w:rsidP="00B94C3B"/>
    <w:p w:rsidR="00B94C3B" w:rsidRDefault="00B94C3B" w:rsidP="00B94C3B">
      <w:pPr>
        <w:pStyle w:val="Heading1"/>
        <w:numPr>
          <w:ilvl w:val="0"/>
          <w:numId w:val="2"/>
        </w:numPr>
      </w:pPr>
      <w:r>
        <w:lastRenderedPageBreak/>
        <w:t>ANAESTHETIST ACCOUNT</w:t>
      </w:r>
    </w:p>
    <w:p w:rsidR="00B94C3B" w:rsidRDefault="00B94C3B" w:rsidP="00B94C3B">
      <w:pPr>
        <w:jc w:val="both"/>
      </w:pPr>
    </w:p>
    <w:p w:rsidR="00B94C3B" w:rsidRDefault="00B94C3B" w:rsidP="00B94C3B">
      <w:pPr>
        <w:ind w:left="360"/>
        <w:jc w:val="both"/>
        <w:rPr>
          <w:b/>
          <w:sz w:val="23"/>
          <w:szCs w:val="23"/>
          <w:lang w:val="en-US"/>
        </w:rPr>
      </w:pPr>
      <w:r>
        <w:rPr>
          <w:sz w:val="23"/>
          <w:szCs w:val="23"/>
        </w:rPr>
        <w:t xml:space="preserve">An anaesthetist will be present during your procedure and will provide the necessary sedation.  For routine procedures (i.e. not requiring advanced endoscopic techniques) the account will usually be sent directly to your fund for payment.  If an advanced procedure is required you will receive an account from your anaesthetist with an out of pocket amount.  Medicare and your health fund will reimburse a substantial part of this fee. </w:t>
      </w:r>
      <w:r>
        <w:rPr>
          <w:b/>
          <w:sz w:val="23"/>
          <w:szCs w:val="23"/>
          <w:lang w:val="en-US"/>
        </w:rPr>
        <w:t xml:space="preserve">If you do not have private health insurance you will need to contact your </w:t>
      </w:r>
      <w:proofErr w:type="spellStart"/>
      <w:r>
        <w:rPr>
          <w:b/>
          <w:sz w:val="23"/>
          <w:szCs w:val="23"/>
          <w:lang w:val="en-US"/>
        </w:rPr>
        <w:t>anaesthetist</w:t>
      </w:r>
      <w:proofErr w:type="spellEnd"/>
      <w:r>
        <w:rPr>
          <w:b/>
          <w:sz w:val="23"/>
          <w:szCs w:val="23"/>
          <w:lang w:val="en-US"/>
        </w:rPr>
        <w:t xml:space="preserve"> to discuss their payment policy.</w:t>
      </w:r>
    </w:p>
    <w:p w:rsidR="00B94C3B" w:rsidRDefault="00B94C3B" w:rsidP="00B94C3B">
      <w:pPr>
        <w:jc w:val="both"/>
        <w:rPr>
          <w:sz w:val="18"/>
          <w:szCs w:val="18"/>
          <w:lang w:val="en-US"/>
        </w:rPr>
      </w:pPr>
    </w:p>
    <w:p w:rsidR="00B94C3B" w:rsidRDefault="00B94C3B" w:rsidP="00B94C3B">
      <w:pPr>
        <w:pStyle w:val="Heading1"/>
        <w:numPr>
          <w:ilvl w:val="0"/>
          <w:numId w:val="2"/>
        </w:numPr>
        <w:rPr>
          <w:sz w:val="23"/>
          <w:szCs w:val="23"/>
        </w:rPr>
      </w:pPr>
      <w:r>
        <w:rPr>
          <w:sz w:val="23"/>
          <w:szCs w:val="23"/>
        </w:rPr>
        <w:t>PATHOLOGY ACCOUNT</w:t>
      </w:r>
    </w:p>
    <w:p w:rsidR="00B94C3B" w:rsidRDefault="00B94C3B" w:rsidP="00B94C3B">
      <w:pPr>
        <w:jc w:val="both"/>
        <w:rPr>
          <w:sz w:val="24"/>
          <w:szCs w:val="24"/>
          <w:lang w:val="en-US"/>
        </w:rPr>
      </w:pPr>
    </w:p>
    <w:p w:rsidR="00B94C3B" w:rsidRDefault="00B94C3B" w:rsidP="00B94C3B">
      <w:pPr>
        <w:rPr>
          <w:sz w:val="23"/>
          <w:szCs w:val="23"/>
        </w:rPr>
      </w:pPr>
      <w:r>
        <w:rPr>
          <w:sz w:val="23"/>
          <w:szCs w:val="23"/>
        </w:rPr>
        <w:t>During the procedure, the doctor may take a biopsy which will be sent to the pathology laboratory.  You may receive an account for this service.  Medicare and your Private Health Fund will reimburse a substantial part of this fee.</w:t>
      </w:r>
    </w:p>
    <w:p w:rsidR="00B94C3B" w:rsidRDefault="00B94C3B" w:rsidP="00B94C3B">
      <w:pPr>
        <w:rPr>
          <w:sz w:val="24"/>
          <w:szCs w:val="24"/>
        </w:rPr>
      </w:pPr>
    </w:p>
    <w:p w:rsidR="00B94C3B" w:rsidRDefault="00B94C3B" w:rsidP="00B94C3B">
      <w:pPr>
        <w:jc w:val="both"/>
        <w:rPr>
          <w:sz w:val="23"/>
          <w:szCs w:val="23"/>
          <w:lang w:val="en-US"/>
        </w:rPr>
      </w:pPr>
      <w:r>
        <w:rPr>
          <w:sz w:val="23"/>
          <w:szCs w:val="23"/>
          <w:lang w:val="en-US"/>
        </w:rPr>
        <w:t>If you have any further enquiries regarding the payment of your account, the item number for the procedure you are to have, or the fee involved, please do not hesitate to telephone the office on (07) 3861 4866.</w:t>
      </w:r>
      <w:r>
        <w:rPr>
          <w:sz w:val="23"/>
          <w:szCs w:val="23"/>
          <w:lang w:val="en-US"/>
        </w:rPr>
        <w:tab/>
      </w:r>
    </w:p>
    <w:p w:rsidR="00B94C3B" w:rsidRDefault="00B94C3B" w:rsidP="00B94C3B">
      <w:pPr>
        <w:jc w:val="center"/>
        <w:rPr>
          <w:b/>
          <w:i/>
          <w:sz w:val="23"/>
          <w:szCs w:val="23"/>
          <w:lang w:val="en-US"/>
        </w:rPr>
      </w:pPr>
    </w:p>
    <w:p w:rsidR="00B94C3B" w:rsidRDefault="00B94C3B" w:rsidP="00B94C3B">
      <w:pPr>
        <w:jc w:val="center"/>
        <w:rPr>
          <w:b/>
          <w:i/>
          <w:sz w:val="23"/>
          <w:szCs w:val="23"/>
        </w:rPr>
      </w:pPr>
      <w:r>
        <w:rPr>
          <w:b/>
          <w:i/>
          <w:sz w:val="23"/>
          <w:szCs w:val="23"/>
          <w:lang w:val="en-US"/>
        </w:rPr>
        <w:t>The following item numbers</w:t>
      </w:r>
      <w:r>
        <w:rPr>
          <w:b/>
          <w:i/>
          <w:sz w:val="23"/>
          <w:szCs w:val="23"/>
        </w:rPr>
        <w:t xml:space="preserve"> may be used at the time of your </w:t>
      </w:r>
      <w:proofErr w:type="spellStart"/>
      <w:r>
        <w:rPr>
          <w:b/>
          <w:i/>
          <w:sz w:val="23"/>
          <w:szCs w:val="23"/>
        </w:rPr>
        <w:t>colonoscopy.This</w:t>
      </w:r>
      <w:proofErr w:type="spellEnd"/>
      <w:r>
        <w:rPr>
          <w:b/>
          <w:i/>
          <w:sz w:val="23"/>
          <w:szCs w:val="23"/>
        </w:rPr>
        <w:t xml:space="preserve"> will be at the discretion of the doctor at the time of your procedure.</w:t>
      </w:r>
    </w:p>
    <w:p w:rsidR="00B94C3B" w:rsidRDefault="00B94C3B" w:rsidP="00B94C3B">
      <w:pPr>
        <w:pStyle w:val="Header"/>
        <w:tabs>
          <w:tab w:val="left" w:pos="720"/>
        </w:tabs>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2403"/>
        <w:gridCol w:w="1599"/>
        <w:gridCol w:w="1589"/>
        <w:gridCol w:w="1843"/>
        <w:gridCol w:w="1918"/>
      </w:tblGrid>
      <w:tr w:rsidR="00B94C3B" w:rsidTr="00B94C3B">
        <w:trPr>
          <w:trHeight w:val="454"/>
          <w:tblCellSpacing w:w="20" w:type="dxa"/>
        </w:trPr>
        <w:tc>
          <w:tcPr>
            <w:tcW w:w="2591" w:type="dxa"/>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b/>
                <w:i/>
                <w:iCs/>
              </w:rPr>
            </w:pPr>
            <w:r>
              <w:rPr>
                <w:rFonts w:ascii="Arial" w:hAnsi="Arial" w:cs="Arial"/>
                <w:b/>
                <w:i/>
                <w:iCs/>
              </w:rPr>
              <w:t>Item</w:t>
            </w:r>
          </w:p>
        </w:tc>
        <w:tc>
          <w:tcPr>
            <w:tcW w:w="1701" w:type="dxa"/>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b/>
                <w:i/>
                <w:iCs/>
              </w:rPr>
            </w:pPr>
            <w:r>
              <w:rPr>
                <w:rFonts w:ascii="Arial" w:hAnsi="Arial" w:cs="Arial"/>
                <w:b/>
                <w:i/>
                <w:iCs/>
              </w:rPr>
              <w:t>Item Number</w:t>
            </w:r>
          </w:p>
        </w:tc>
        <w:tc>
          <w:tcPr>
            <w:tcW w:w="1701" w:type="dxa"/>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b/>
                <w:i/>
                <w:iCs/>
              </w:rPr>
            </w:pPr>
            <w:r>
              <w:rPr>
                <w:rFonts w:ascii="Arial" w:hAnsi="Arial" w:cs="Arial"/>
                <w:b/>
                <w:i/>
                <w:iCs/>
              </w:rPr>
              <w:t>DDQ Fee</w:t>
            </w:r>
          </w:p>
        </w:tc>
        <w:tc>
          <w:tcPr>
            <w:tcW w:w="1984" w:type="dxa"/>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b/>
                <w:i/>
                <w:iCs/>
              </w:rPr>
            </w:pPr>
            <w:r>
              <w:rPr>
                <w:rFonts w:ascii="Arial" w:hAnsi="Arial" w:cs="Arial"/>
                <w:b/>
                <w:i/>
                <w:iCs/>
              </w:rPr>
              <w:t>Medicare Pays</w:t>
            </w:r>
          </w:p>
        </w:tc>
        <w:tc>
          <w:tcPr>
            <w:tcW w:w="1984" w:type="dxa"/>
            <w:vMerge w:val="restart"/>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b/>
                <w:i/>
                <w:iCs/>
              </w:rPr>
            </w:pPr>
            <w:r>
              <w:rPr>
                <w:rFonts w:ascii="Arial" w:hAnsi="Arial" w:cs="Arial"/>
                <w:b/>
                <w:i/>
                <w:iCs/>
              </w:rPr>
              <w:t>Health Fund Pays</w:t>
            </w:r>
          </w:p>
          <w:p w:rsidR="00B94C3B" w:rsidRDefault="00B94C3B">
            <w:pPr>
              <w:pStyle w:val="Footer"/>
              <w:jc w:val="center"/>
              <w:rPr>
                <w:rFonts w:ascii="Arial" w:hAnsi="Arial" w:cs="Arial"/>
                <w:i/>
                <w:iCs/>
              </w:rPr>
            </w:pPr>
            <w:r>
              <w:rPr>
                <w:rFonts w:ascii="Arial" w:hAnsi="Arial" w:cs="Arial"/>
                <w:i/>
                <w:iCs/>
              </w:rPr>
              <w:t xml:space="preserve">Check with your </w:t>
            </w:r>
          </w:p>
          <w:p w:rsidR="00B94C3B" w:rsidRDefault="00B94C3B">
            <w:pPr>
              <w:pStyle w:val="Footer"/>
              <w:jc w:val="center"/>
              <w:rPr>
                <w:rFonts w:ascii="Arial" w:hAnsi="Arial" w:cs="Arial"/>
                <w:i/>
                <w:iCs/>
              </w:rPr>
            </w:pPr>
            <w:r>
              <w:rPr>
                <w:rFonts w:ascii="Arial" w:hAnsi="Arial" w:cs="Arial"/>
                <w:i/>
                <w:iCs/>
              </w:rPr>
              <w:t xml:space="preserve">health fund for </w:t>
            </w:r>
          </w:p>
          <w:p w:rsidR="00B94C3B" w:rsidRDefault="00B94C3B">
            <w:pPr>
              <w:pStyle w:val="Footer"/>
              <w:jc w:val="center"/>
              <w:rPr>
                <w:rFonts w:ascii="Arial" w:hAnsi="Arial" w:cs="Arial"/>
                <w:i/>
                <w:iCs/>
              </w:rPr>
            </w:pPr>
            <w:r>
              <w:rPr>
                <w:rFonts w:ascii="Arial" w:hAnsi="Arial" w:cs="Arial"/>
                <w:i/>
                <w:iCs/>
              </w:rPr>
              <w:t>this information.</w:t>
            </w:r>
          </w:p>
        </w:tc>
      </w:tr>
      <w:tr w:rsidR="00B94C3B" w:rsidTr="00B94C3B">
        <w:trPr>
          <w:trHeight w:val="397"/>
          <w:tblCellSpacing w:w="20" w:type="dxa"/>
        </w:trPr>
        <w:tc>
          <w:tcPr>
            <w:tcW w:w="2591" w:type="dxa"/>
            <w:tcBorders>
              <w:top w:val="inset" w:sz="6" w:space="0" w:color="auto"/>
              <w:left w:val="inset" w:sz="6" w:space="0" w:color="auto"/>
              <w:bottom w:val="inset" w:sz="6" w:space="0" w:color="auto"/>
              <w:right w:val="inset" w:sz="6" w:space="0" w:color="auto"/>
            </w:tcBorders>
            <w:hideMark/>
          </w:tcPr>
          <w:p w:rsidR="00B94C3B" w:rsidRDefault="00B94C3B">
            <w:pPr>
              <w:pStyle w:val="Footer"/>
              <w:rPr>
                <w:rFonts w:ascii="Arial" w:hAnsi="Arial" w:cs="Arial"/>
              </w:rPr>
            </w:pPr>
            <w:r>
              <w:rPr>
                <w:rFonts w:ascii="Arial" w:hAnsi="Arial" w:cs="Arial"/>
              </w:rPr>
              <w:t>Colonoscopy</w:t>
            </w:r>
          </w:p>
        </w:tc>
        <w:tc>
          <w:tcPr>
            <w:tcW w:w="1701" w:type="dxa"/>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rPr>
            </w:pPr>
            <w:r>
              <w:rPr>
                <w:rFonts w:ascii="Arial" w:hAnsi="Arial" w:cs="Arial"/>
              </w:rPr>
              <w:t>32090</w:t>
            </w:r>
          </w:p>
        </w:tc>
        <w:tc>
          <w:tcPr>
            <w:tcW w:w="1701" w:type="dxa"/>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rPr>
            </w:pPr>
            <w:r>
              <w:rPr>
                <w:rFonts w:ascii="Arial" w:hAnsi="Arial" w:cs="Arial"/>
              </w:rPr>
              <w:t>$420.00</w:t>
            </w:r>
          </w:p>
        </w:tc>
        <w:tc>
          <w:tcPr>
            <w:tcW w:w="1984" w:type="dxa"/>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rPr>
            </w:pPr>
            <w:r>
              <w:rPr>
                <w:rFonts w:ascii="Arial" w:hAnsi="Arial" w:cs="Arial"/>
              </w:rPr>
              <w:t>$250.80</w:t>
            </w:r>
          </w:p>
        </w:tc>
        <w:tc>
          <w:tcPr>
            <w:tcW w:w="0" w:type="auto"/>
            <w:vMerge/>
            <w:tcBorders>
              <w:top w:val="inset" w:sz="6" w:space="0" w:color="auto"/>
              <w:left w:val="inset" w:sz="6" w:space="0" w:color="auto"/>
              <w:bottom w:val="inset" w:sz="6" w:space="0" w:color="auto"/>
              <w:right w:val="inset" w:sz="6" w:space="0" w:color="auto"/>
            </w:tcBorders>
            <w:vAlign w:val="center"/>
            <w:hideMark/>
          </w:tcPr>
          <w:p w:rsidR="00B94C3B" w:rsidRDefault="00B94C3B">
            <w:pPr>
              <w:rPr>
                <w:rFonts w:ascii="Arial" w:hAnsi="Arial" w:cs="Arial"/>
                <w:i/>
                <w:iCs/>
                <w:sz w:val="24"/>
                <w:szCs w:val="24"/>
              </w:rPr>
            </w:pPr>
          </w:p>
        </w:tc>
      </w:tr>
      <w:tr w:rsidR="00B94C3B" w:rsidTr="00B94C3B">
        <w:trPr>
          <w:trHeight w:val="567"/>
          <w:tblCellSpacing w:w="20" w:type="dxa"/>
        </w:trPr>
        <w:tc>
          <w:tcPr>
            <w:tcW w:w="2591" w:type="dxa"/>
            <w:tcBorders>
              <w:top w:val="inset" w:sz="6" w:space="0" w:color="auto"/>
              <w:left w:val="inset" w:sz="6" w:space="0" w:color="auto"/>
              <w:bottom w:val="inset" w:sz="6" w:space="0" w:color="auto"/>
              <w:right w:val="inset" w:sz="6" w:space="0" w:color="auto"/>
            </w:tcBorders>
            <w:hideMark/>
          </w:tcPr>
          <w:p w:rsidR="00B94C3B" w:rsidRDefault="00B94C3B">
            <w:pPr>
              <w:pStyle w:val="Footer"/>
              <w:rPr>
                <w:rFonts w:ascii="Arial" w:hAnsi="Arial" w:cs="Arial"/>
              </w:rPr>
            </w:pPr>
            <w:r>
              <w:rPr>
                <w:rFonts w:ascii="Arial" w:hAnsi="Arial" w:cs="Arial"/>
              </w:rPr>
              <w:t xml:space="preserve">Colonoscopy with </w:t>
            </w:r>
            <w:proofErr w:type="spellStart"/>
            <w:r>
              <w:rPr>
                <w:rFonts w:ascii="Arial" w:hAnsi="Arial" w:cs="Arial"/>
              </w:rPr>
              <w:t>Polypectomy</w:t>
            </w:r>
            <w:proofErr w:type="spellEnd"/>
          </w:p>
        </w:tc>
        <w:tc>
          <w:tcPr>
            <w:tcW w:w="1701" w:type="dxa"/>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rPr>
            </w:pPr>
            <w:r>
              <w:rPr>
                <w:rFonts w:ascii="Arial" w:hAnsi="Arial" w:cs="Arial"/>
              </w:rPr>
              <w:t>32093</w:t>
            </w:r>
          </w:p>
        </w:tc>
        <w:tc>
          <w:tcPr>
            <w:tcW w:w="1701" w:type="dxa"/>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rPr>
            </w:pPr>
            <w:r>
              <w:rPr>
                <w:rFonts w:ascii="Arial" w:hAnsi="Arial" w:cs="Arial"/>
              </w:rPr>
              <w:t>$565.00</w:t>
            </w:r>
          </w:p>
        </w:tc>
        <w:tc>
          <w:tcPr>
            <w:tcW w:w="1984" w:type="dxa"/>
            <w:tcBorders>
              <w:top w:val="inset" w:sz="6" w:space="0" w:color="auto"/>
              <w:left w:val="inset" w:sz="6" w:space="0" w:color="auto"/>
              <w:bottom w:val="inset" w:sz="6" w:space="0" w:color="auto"/>
              <w:right w:val="inset" w:sz="6" w:space="0" w:color="auto"/>
            </w:tcBorders>
            <w:hideMark/>
          </w:tcPr>
          <w:p w:rsidR="00B94C3B" w:rsidRDefault="00B94C3B">
            <w:pPr>
              <w:pStyle w:val="Footer"/>
              <w:jc w:val="center"/>
              <w:rPr>
                <w:rFonts w:ascii="Arial" w:hAnsi="Arial" w:cs="Arial"/>
              </w:rPr>
            </w:pPr>
            <w:r>
              <w:rPr>
                <w:rFonts w:ascii="Arial" w:hAnsi="Arial" w:cs="Arial"/>
              </w:rPr>
              <w:t>$351.90</w:t>
            </w:r>
          </w:p>
        </w:tc>
        <w:tc>
          <w:tcPr>
            <w:tcW w:w="0" w:type="auto"/>
            <w:vMerge/>
            <w:tcBorders>
              <w:top w:val="inset" w:sz="6" w:space="0" w:color="auto"/>
              <w:left w:val="inset" w:sz="6" w:space="0" w:color="auto"/>
              <w:bottom w:val="inset" w:sz="6" w:space="0" w:color="auto"/>
              <w:right w:val="inset" w:sz="6" w:space="0" w:color="auto"/>
            </w:tcBorders>
            <w:vAlign w:val="center"/>
            <w:hideMark/>
          </w:tcPr>
          <w:p w:rsidR="00B94C3B" w:rsidRDefault="00B94C3B">
            <w:pPr>
              <w:rPr>
                <w:rFonts w:ascii="Arial" w:hAnsi="Arial" w:cs="Arial"/>
                <w:i/>
                <w:iCs/>
                <w:sz w:val="24"/>
                <w:szCs w:val="24"/>
              </w:rPr>
            </w:pPr>
          </w:p>
        </w:tc>
      </w:tr>
    </w:tbl>
    <w:p w:rsidR="00B94C3B" w:rsidRDefault="00B94C3B" w:rsidP="00B94C3B">
      <w:pPr>
        <w:pStyle w:val="Header"/>
        <w:tabs>
          <w:tab w:val="left" w:pos="720"/>
        </w:tabs>
      </w:pPr>
    </w:p>
    <w:p w:rsidR="004D3C9B" w:rsidRDefault="004D3C9B"/>
    <w:sectPr w:rsidR="004D3C9B" w:rsidSect="00B94C3B">
      <w:headerReference w:type="default" r:id="rId9"/>
      <w:pgSz w:w="11906" w:h="16838"/>
      <w:pgMar w:top="1440" w:right="1440" w:bottom="1440" w:left="144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C3B" w:rsidRDefault="00B94C3B" w:rsidP="00B94C3B">
      <w:pPr>
        <w:spacing w:after="0" w:line="240" w:lineRule="auto"/>
      </w:pPr>
      <w:r>
        <w:separator/>
      </w:r>
    </w:p>
  </w:endnote>
  <w:endnote w:type="continuationSeparator" w:id="0">
    <w:p w:rsidR="00B94C3B" w:rsidRDefault="00B94C3B" w:rsidP="00B94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C3B" w:rsidRDefault="00B94C3B" w:rsidP="00B94C3B">
      <w:pPr>
        <w:spacing w:after="0" w:line="240" w:lineRule="auto"/>
      </w:pPr>
      <w:r>
        <w:separator/>
      </w:r>
    </w:p>
  </w:footnote>
  <w:footnote w:type="continuationSeparator" w:id="0">
    <w:p w:rsidR="00B94C3B" w:rsidRDefault="00B94C3B" w:rsidP="00B94C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C3B" w:rsidRDefault="00B94C3B" w:rsidP="00B94C3B">
    <w:pPr>
      <w:pStyle w:val="Header"/>
      <w:ind w:hanging="993"/>
    </w:pPr>
    <w:r>
      <w:rPr>
        <w:noProof/>
        <w:lang w:eastAsia="en-AU"/>
      </w:rPr>
      <w:drawing>
        <wp:inline distT="0" distB="0" distL="0" distR="0" wp14:anchorId="323FC694" wp14:editId="53B1EF16">
          <wp:extent cx="2062716" cy="741806"/>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Q_BW_3.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3036" cy="741921"/>
                  </a:xfrm>
                  <a:prstGeom prst="rect">
                    <a:avLst/>
                  </a:prstGeom>
                </pic:spPr>
              </pic:pic>
            </a:graphicData>
          </a:graphic>
        </wp:inline>
      </w:drawing>
    </w:r>
  </w:p>
  <w:p w:rsidR="00B94C3B" w:rsidRDefault="00B94C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E4FC1"/>
    <w:multiLevelType w:val="hybridMultilevel"/>
    <w:tmpl w:val="53400F7A"/>
    <w:lvl w:ilvl="0" w:tplc="04090001">
      <w:start w:val="1"/>
      <w:numFmt w:val="bullet"/>
      <w:lvlText w:val=""/>
      <w:lvlJc w:val="left"/>
      <w:pPr>
        <w:tabs>
          <w:tab w:val="num" w:pos="720"/>
        </w:tabs>
        <w:ind w:left="720" w:hanging="360"/>
      </w:pPr>
      <w:rPr>
        <w:rFonts w:ascii="Symbol" w:hAnsi="Symbol" w:hint="default"/>
      </w:rPr>
    </w:lvl>
    <w:lvl w:ilvl="1" w:tplc="DA744F4A">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47F70C2B"/>
    <w:multiLevelType w:val="hybridMultilevel"/>
    <w:tmpl w:val="F9FCD3C8"/>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C3B"/>
    <w:rsid w:val="004D3C9B"/>
    <w:rsid w:val="00B94C3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4C3B"/>
    <w:pPr>
      <w:keepNext/>
      <w:spacing w:after="0" w:line="240" w:lineRule="auto"/>
      <w:jc w:val="both"/>
      <w:outlineLvl w:val="0"/>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C3B"/>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94C3B"/>
    <w:rPr>
      <w:rFonts w:ascii="Times New Roman" w:eastAsia="Times New Roman" w:hAnsi="Times New Roman" w:cs="Times New Roman"/>
      <w:sz w:val="24"/>
      <w:szCs w:val="24"/>
    </w:rPr>
  </w:style>
  <w:style w:type="paragraph" w:styleId="Footer">
    <w:name w:val="footer"/>
    <w:basedOn w:val="Normal"/>
    <w:link w:val="FooterChar"/>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94C3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9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4C3B"/>
    <w:pPr>
      <w:keepNext/>
      <w:spacing w:after="0" w:line="240" w:lineRule="auto"/>
      <w:jc w:val="both"/>
      <w:outlineLvl w:val="0"/>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C3B"/>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94C3B"/>
    <w:rPr>
      <w:rFonts w:ascii="Times New Roman" w:eastAsia="Times New Roman" w:hAnsi="Times New Roman" w:cs="Times New Roman"/>
      <w:sz w:val="24"/>
      <w:szCs w:val="24"/>
    </w:rPr>
  </w:style>
  <w:style w:type="paragraph" w:styleId="Footer">
    <w:name w:val="footer"/>
    <w:basedOn w:val="Normal"/>
    <w:link w:val="FooterChar"/>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94C3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9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890633">
      <w:bodyDiv w:val="1"/>
      <w:marLeft w:val="0"/>
      <w:marRight w:val="0"/>
      <w:marTop w:val="0"/>
      <w:marBottom w:val="0"/>
      <w:divBdr>
        <w:top w:val="none" w:sz="0" w:space="0" w:color="auto"/>
        <w:left w:val="none" w:sz="0" w:space="0" w:color="auto"/>
        <w:bottom w:val="none" w:sz="0" w:space="0" w:color="auto"/>
        <w:right w:val="none" w:sz="0" w:space="0" w:color="auto"/>
      </w:divBdr>
    </w:div>
    <w:div w:id="20999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32DB6-6519-432A-9BBB-B2CC99C17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Reception2</dc:creator>
  <cp:lastModifiedBy>Reception2</cp:lastModifiedBy>
  <cp:revision>1</cp:revision>
  <dcterms:created xsi:type="dcterms:W3CDTF">2014-12-18T08:35:00Z</dcterms:created>
  <dcterms:modified xsi:type="dcterms:W3CDTF">2014-12-18T08:40:00Z</dcterms:modified>
</cp:coreProperties>
</file>